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jc w:val="center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  <w:rtl w:val="0"/>
        </w:rPr>
        <w:t>Описание технического решения</w:t>
      </w:r>
    </w:p>
    <w:p w14:paraId="00000002">
      <w:pPr>
        <w:jc w:val="center"/>
        <w:rPr>
          <w:rFonts w:ascii="Times New Roman" w:hAnsi="Times New Roman" w:eastAsia="Times New Roman" w:cs="Times New Roman"/>
          <w:b/>
          <w:bCs/>
        </w:rPr>
      </w:pPr>
    </w:p>
    <w:p w14:paraId="00000003">
      <w:pPr>
        <w:jc w:val="center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  <w:rtl w:val="0"/>
        </w:rPr>
        <w:t>МОБИЛЬНАЯ СТАНЦИЯ ЗАТАРКИ МК</w:t>
      </w:r>
    </w:p>
    <w:p w14:paraId="00000005">
      <w:pPr>
        <w:jc w:val="both"/>
        <w:rPr>
          <w:rFonts w:ascii="Times New Roman" w:hAnsi="Times New Roman" w:eastAsia="Times New Roman" w:cs="Times New Roman"/>
        </w:rPr>
      </w:pPr>
    </w:p>
    <w:p w14:paraId="00000006">
      <w:pPr>
        <w:ind w:firstLine="567"/>
        <w:jc w:val="both"/>
        <w:rPr>
          <w:rFonts w:ascii="Times New Roman" w:hAnsi="Times New Roman" w:eastAsia="Times New Roman" w:cs="Times New Roman"/>
        </w:rPr>
      </w:pPr>
    </w:p>
    <w:p w14:paraId="00000008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  <w:rtl w:val="0"/>
        </w:rPr>
        <w:t>1. Назначение</w:t>
      </w:r>
    </w:p>
    <w:p w14:paraId="00000009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1.1. Затарка мягких многооборотных контейнеров МК-14-10 насыпными зерновыми грузами непосредственно на платформе полуприцепа.</w:t>
      </w:r>
    </w:p>
    <w:p w14:paraId="0000000A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1.2. Может быть установлена на объектах насыпного хранения грузов.</w:t>
      </w:r>
    </w:p>
    <w:p w14:paraId="0000000C">
      <w:pPr>
        <w:jc w:val="both"/>
        <w:rPr>
          <w:rFonts w:ascii="Times New Roman" w:hAnsi="Times New Roman" w:eastAsia="Times New Roman" w:cs="Times New Roman"/>
        </w:rPr>
      </w:pPr>
    </w:p>
    <w:p w14:paraId="0000000E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  <w:rtl w:val="0"/>
        </w:rPr>
        <w:t>2. Преимущества</w:t>
      </w:r>
    </w:p>
    <w:p w14:paraId="0000000F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2.1. Установка разборная, мобильная</w:t>
      </w:r>
    </w:p>
    <w:p w14:paraId="00000010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2.2. Установка быстро возводимая (в течение одной рабочей смены)</w:t>
      </w:r>
    </w:p>
    <w:p w14:paraId="00000011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2.3. Не требуется грузоподъемная техника для затарки МК</w:t>
      </w:r>
    </w:p>
    <w:p w14:paraId="00000013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2.4. Производительность станции затарки – 75 м</w:t>
      </w:r>
      <w:r>
        <w:rPr>
          <w:rFonts w:ascii="Times New Roman" w:hAnsi="Times New Roman" w:eastAsia="Times New Roman" w:cs="Times New Roman"/>
          <w:vertAlign w:val="superscript"/>
          <w:rtl w:val="0"/>
        </w:rPr>
        <w:t>3</w:t>
      </w:r>
      <w:r>
        <w:rPr>
          <w:rFonts w:ascii="Times New Roman" w:hAnsi="Times New Roman" w:eastAsia="Times New Roman" w:cs="Times New Roman"/>
          <w:rtl w:val="0"/>
        </w:rPr>
        <w:t xml:space="preserve"> в час (6 МК в час)</w:t>
      </w:r>
    </w:p>
    <w:p w14:paraId="00000014">
      <w:pPr>
        <w:ind w:firstLine="567"/>
        <w:jc w:val="both"/>
        <w:rPr>
          <w:rFonts w:ascii="Times New Roman" w:hAnsi="Times New Roman" w:eastAsia="Times New Roman" w:cs="Times New Roman"/>
        </w:rPr>
      </w:pPr>
    </w:p>
    <w:p w14:paraId="00000016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  <w:rtl w:val="0"/>
        </w:rPr>
        <w:t>3. Требования</w:t>
      </w:r>
    </w:p>
    <w:p w14:paraId="00000017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3.1. Наличие фронтального погрузчика для пополнения приемного бункера</w:t>
      </w:r>
    </w:p>
    <w:p w14:paraId="00000018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3.2. Наличие навеса при работе в условиях осадков</w:t>
      </w:r>
    </w:p>
    <w:p w14:paraId="00000019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3.3. Обслуживание установки – 2 оператора на смене</w:t>
      </w:r>
    </w:p>
    <w:p w14:paraId="0000001A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3.4. Наличие точки подключения питания 3 фазы мощностью 7 кВт</w:t>
      </w:r>
    </w:p>
    <w:p w14:paraId="0000001B">
      <w:pPr>
        <w:ind w:firstLine="567"/>
        <w:jc w:val="both"/>
        <w:rPr>
          <w:rFonts w:ascii="Times New Roman" w:hAnsi="Times New Roman" w:eastAsia="Times New Roman" w:cs="Times New Roman"/>
        </w:rPr>
      </w:pPr>
    </w:p>
    <w:p w14:paraId="0000001C">
      <w:pPr>
        <w:ind w:firstLine="567"/>
        <w:jc w:val="both"/>
        <w:rPr>
          <w:rFonts w:ascii="Times New Roman" w:hAnsi="Times New Roman" w:eastAsia="Times New Roman" w:cs="Times New Roman"/>
        </w:rPr>
      </w:pPr>
    </w:p>
    <w:p w14:paraId="0000001E">
      <w:pPr>
        <w:ind w:firstLine="567"/>
        <w:jc w:val="both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  <w:rtl w:val="0"/>
        </w:rPr>
        <w:t>4. Основные компоненты установки</w:t>
      </w:r>
    </w:p>
    <w:p w14:paraId="0000001F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4.1. Мобильная быстровозводимая рама – каркас установки – 1 единица, служит опорным элементом для монтажа компонентов установки</w:t>
      </w:r>
    </w:p>
    <w:p w14:paraId="00000020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4.2. Наклонная нория – 1 единица, производительность 90 м</w:t>
      </w:r>
      <w:r>
        <w:rPr>
          <w:rFonts w:ascii="Times New Roman" w:hAnsi="Times New Roman" w:eastAsia="Times New Roman" w:cs="Times New Roman"/>
          <w:vertAlign w:val="superscript"/>
          <w:rtl w:val="0"/>
        </w:rPr>
        <w:t>3</w:t>
      </w:r>
      <w:r>
        <w:rPr>
          <w:rFonts w:ascii="Times New Roman" w:hAnsi="Times New Roman" w:eastAsia="Times New Roman" w:cs="Times New Roman"/>
          <w:rtl w:val="0"/>
        </w:rPr>
        <w:t xml:space="preserve"> в час</w:t>
      </w:r>
    </w:p>
    <w:p w14:paraId="00000021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4.3. Приемный бункер – 1 единица</w:t>
      </w:r>
    </w:p>
    <w:p w14:paraId="00000022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4.4. Приемная воронка – 1 единица</w:t>
      </w:r>
    </w:p>
    <w:p w14:paraId="00000023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4.5. Траверса – 1 единица, грузоподъемность 3 тонны</w:t>
      </w:r>
    </w:p>
    <w:p w14:paraId="00000024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4.6. Грузоподъемное устройство – 2 единицы, грузоподъемность 2 тонны каждая</w:t>
      </w:r>
    </w:p>
    <w:p w14:paraId="00000026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4.7. Автоматика поддержания заданного диапазона нагрузки на грузоподъемные устройства – 1 комплект, предусмотрена с целью обеспечить правильное формирование МК, оптимальную утилизацию его объема, исключить повреждение МК, повреждение траверсы, повреждение грузоподъемных устройств или опорных элементов станции затарки</w:t>
      </w:r>
    </w:p>
    <w:p w14:paraId="00000027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Суммарная масса всех компонентов установки, оценка, 3</w:t>
      </w:r>
      <w:r>
        <w:rPr>
          <w:rFonts w:hint="default" w:ascii="Times New Roman" w:hAnsi="Times New Roman" w:eastAsia="Times New Roman" w:cs="Times New Roman"/>
          <w:rtl w:val="0"/>
          <w:lang w:val="ru-RU"/>
        </w:rPr>
        <w:t xml:space="preserve"> </w:t>
      </w:r>
      <w:r>
        <w:rPr>
          <w:rFonts w:ascii="Times New Roman" w:hAnsi="Times New Roman" w:eastAsia="Times New Roman" w:cs="Times New Roman"/>
          <w:rtl w:val="0"/>
        </w:rPr>
        <w:t>500,00 кг.</w:t>
      </w:r>
    </w:p>
    <w:p w14:paraId="00000028">
      <w:pPr>
        <w:ind w:firstLine="567"/>
        <w:jc w:val="both"/>
        <w:rPr>
          <w:rFonts w:ascii="Times New Roman" w:hAnsi="Times New Roman" w:eastAsia="Times New Roman" w:cs="Times New Roman"/>
        </w:rPr>
      </w:pPr>
    </w:p>
    <w:p w14:paraId="00000029">
      <w:pPr>
        <w:ind w:firstLine="567"/>
        <w:jc w:val="both"/>
        <w:rPr>
          <w:rFonts w:ascii="Times New Roman" w:hAnsi="Times New Roman" w:eastAsia="Times New Roman" w:cs="Times New Roman"/>
        </w:rPr>
      </w:pPr>
    </w:p>
    <w:p w14:paraId="0000002B">
      <w:pPr>
        <w:ind w:firstLine="567"/>
        <w:jc w:val="both"/>
        <w:rPr>
          <w:rFonts w:ascii="Times New Roman" w:hAnsi="Times New Roman" w:eastAsia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  <w:rtl w:val="0"/>
        </w:rPr>
        <w:t>5. Краткое описание технологии</w:t>
      </w:r>
    </w:p>
    <w:p w14:paraId="0000002C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5.1. На платформе полуприцепа предварительно размещены и расправлены 3 МК</w:t>
      </w:r>
    </w:p>
    <w:p w14:paraId="0000002D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5.2. Траверса предварительно подвешена на грузозахватное приспособление грузоподъемного устройства</w:t>
      </w:r>
    </w:p>
    <w:p w14:paraId="0000002E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5.3. Приемный бункер полон</w:t>
      </w:r>
    </w:p>
    <w:p w14:paraId="0000002F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5.4. Платформа подходит для затарки МК под станцию</w:t>
      </w:r>
    </w:p>
    <w:p w14:paraId="00000030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5.5. Траверса опускается оператором управлением с земли, оператор крепит МК к траверсе</w:t>
      </w:r>
    </w:p>
    <w:p w14:paraId="00000031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5.6. Траверса поднимается, расправляя МК и подводя его в положение затарки</w:t>
      </w:r>
    </w:p>
    <w:p w14:paraId="00000032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5.7. Включается наклонная нория, начинается подача сырья в МК-14-10</w:t>
      </w:r>
    </w:p>
    <w:p w14:paraId="00000033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5.8. Приемный бункер требует постоянного пополнения</w:t>
      </w:r>
    </w:p>
    <w:p w14:paraId="00000034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5.9. По наполнении МК нория останавливается отсечкой времени (см. п. 6 Технологические ограничения)</w:t>
      </w:r>
    </w:p>
    <w:p w14:paraId="00000035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5.10. Траверса опускается управлением с земли</w:t>
      </w:r>
    </w:p>
    <w:p w14:paraId="00000036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5.11. Оператор по приставной лестнице поднимается и отсоединяет грузовые петли и загрузочный рукав МК от траверсы</w:t>
      </w:r>
    </w:p>
    <w:p w14:paraId="00000037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5.12. Траверса приподнимается для смены позиции затарки</w:t>
      </w:r>
    </w:p>
    <w:p w14:paraId="00000038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5.13. Платформа продвигается на 1 позицию вперед</w:t>
      </w:r>
    </w:p>
    <w:p w14:paraId="00000039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5.14. Цикл повторяется</w:t>
      </w:r>
    </w:p>
    <w:p w14:paraId="0000003B">
      <w:pPr>
        <w:jc w:val="both"/>
        <w:rPr>
          <w:rFonts w:ascii="Times New Roman" w:hAnsi="Times New Roman" w:eastAsia="Times New Roman" w:cs="Times New Roman"/>
        </w:rPr>
      </w:pPr>
    </w:p>
    <w:p w14:paraId="0000003D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  <w:rtl w:val="0"/>
        </w:rPr>
        <w:t>6. Технологические ограничения, принятые с целью удешевления установки и уменьшения ее массогабаритных параметров</w:t>
      </w:r>
    </w:p>
    <w:p w14:paraId="0000003E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6.1. Объем и высота приемной воронки минимальны – предназначена только для улавливания и направления потока груза в МК, не предназначена для накопления объема материала</w:t>
      </w:r>
    </w:p>
    <w:p w14:paraId="0000003F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6.2. Запорная арматура на выходе приемной воронки не предусмотрена</w:t>
      </w:r>
    </w:p>
    <w:p w14:paraId="00000040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6.3. При смене позиции (смене МК) наклонная нория остановлена</w:t>
      </w:r>
    </w:p>
    <w:p w14:paraId="00000041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6.4. Наполнение МК контролируется временной отсечкой работы наклонной нории (предлагается вручную с целью минимизации затрат)</w:t>
      </w:r>
    </w:p>
    <w:p w14:paraId="00000042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6.5. Взвешивание продукта в каждом отдельном МК не предусмотрено</w:t>
      </w:r>
    </w:p>
    <w:p w14:paraId="00000043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6.6. Взвешивание продукта, затаренного суммарно на транспортное средство, может быть произведено на автомобильных весах</w:t>
      </w:r>
    </w:p>
    <w:p w14:paraId="00000045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6.7. Снятие петель и загрузочного рукава с траверсы по окончании затарки осуществляется оператором вручную с приставной лестницы</w:t>
      </w:r>
    </w:p>
    <w:p w14:paraId="00000046">
      <w:pPr>
        <w:ind w:firstLine="567"/>
        <w:jc w:val="both"/>
        <w:rPr>
          <w:rFonts w:ascii="Times New Roman" w:hAnsi="Times New Roman" w:eastAsia="Times New Roman" w:cs="Times New Roman"/>
        </w:rPr>
      </w:pPr>
    </w:p>
    <w:p w14:paraId="00000048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b/>
          <w:bCs/>
          <w:rtl w:val="0"/>
        </w:rPr>
        <w:t>7. Приложения</w:t>
      </w:r>
    </w:p>
    <w:p w14:paraId="00000051">
      <w:pPr>
        <w:ind w:firstLine="567"/>
        <w:jc w:val="both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  <w:rtl w:val="0"/>
        </w:rPr>
        <w:t>7.</w:t>
      </w:r>
      <w:bookmarkStart w:id="0" w:name="_GoBack"/>
      <w:bookmarkEnd w:id="0"/>
      <w:r>
        <w:rPr>
          <w:rFonts w:ascii="Times New Roman" w:hAnsi="Times New Roman" w:eastAsia="Times New Roman" w:cs="Times New Roman"/>
          <w:rtl w:val="0"/>
        </w:rPr>
        <w:t>1. Эскиз мобильной станции затарки – 1 страница</w:t>
      </w:r>
    </w:p>
    <w:sectPr>
      <w:pgSz w:w="11906" w:h="16838"/>
      <w:pgMar w:top="284" w:right="850" w:bottom="709" w:left="1701" w:header="248" w:footer="53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482A68C1-90F6-49FB-B4B6-1CB289A7A0F0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C6FAEA92-B8C8-479A-8CFF-20388A6BD3F4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59EC4A15-BDE0-45DF-AA9B-A992C4561E88}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  <w:embedRegular r:id="rId4" w:fontKey="{A077AB73-8381-44C8-9952-7CF63C0BBD2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efaultTabStop w:val="720"/>
  <w:compat>
    <w:compatSetting w:name="compatibilityMode" w:uri="http://schemas.microsoft.com/office/word" w:val="15"/>
  </w:compat>
  <w:rsids>
    <w:rsidRoot w:val="00000000"/>
    <w:rsid w:val="343E021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qFormat="1"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rPr>
      <w:rFonts w:ascii="Calibri" w:hAnsi="Calibri" w:eastAsia="Calibri" w:cs="Calibri"/>
      <w:sz w:val="24"/>
      <w:szCs w:val="24"/>
      <w:lang w:val="ru"/>
    </w:rPr>
  </w:style>
  <w:style w:type="paragraph" w:styleId="2">
    <w:name w:val="heading 1"/>
    <w:basedOn w:val="1"/>
    <w:next w:val="1"/>
    <w:uiPriority w:val="0"/>
    <w:pPr>
      <w:keepNext/>
      <w:keepLines/>
      <w:spacing w:before="480" w:after="200"/>
    </w:pPr>
    <w:rPr>
      <w:rFonts w:ascii="Arial" w:hAnsi="Arial" w:eastAsia="Arial" w:cs="Arial"/>
      <w:sz w:val="40"/>
      <w:szCs w:val="40"/>
    </w:rPr>
  </w:style>
  <w:style w:type="paragraph" w:styleId="3">
    <w:name w:val="heading 2"/>
    <w:basedOn w:val="1"/>
    <w:next w:val="1"/>
    <w:uiPriority w:val="0"/>
    <w:pPr>
      <w:keepNext/>
      <w:keepLines/>
      <w:spacing w:before="360" w:after="200"/>
    </w:pPr>
    <w:rPr>
      <w:rFonts w:ascii="Arial" w:hAnsi="Arial" w:eastAsia="Arial" w:cs="Arial"/>
      <w:sz w:val="34"/>
      <w:szCs w:val="34"/>
    </w:rPr>
  </w:style>
  <w:style w:type="paragraph" w:styleId="4">
    <w:name w:val="heading 3"/>
    <w:basedOn w:val="1"/>
    <w:next w:val="1"/>
    <w:uiPriority w:val="0"/>
    <w:pPr>
      <w:keepNext/>
      <w:keepLines/>
      <w:spacing w:before="320" w:after="200"/>
    </w:pPr>
    <w:rPr>
      <w:rFonts w:ascii="Arial" w:hAnsi="Arial" w:eastAsia="Arial" w:cs="Arial"/>
      <w:sz w:val="30"/>
      <w:szCs w:val="30"/>
    </w:rPr>
  </w:style>
  <w:style w:type="paragraph" w:styleId="5">
    <w:name w:val="heading 4"/>
    <w:basedOn w:val="1"/>
    <w:next w:val="1"/>
    <w:qFormat/>
    <w:uiPriority w:val="0"/>
    <w:pPr>
      <w:keepNext/>
      <w:keepLines/>
      <w:spacing w:before="320" w:after="200"/>
    </w:pPr>
    <w:rPr>
      <w:rFonts w:ascii="Arial" w:hAnsi="Arial" w:eastAsia="Arial" w:cs="Arial"/>
      <w:b/>
      <w:bCs/>
      <w:sz w:val="26"/>
      <w:szCs w:val="26"/>
    </w:rPr>
  </w:style>
  <w:style w:type="paragraph" w:styleId="6">
    <w:name w:val="heading 5"/>
    <w:basedOn w:val="1"/>
    <w:next w:val="1"/>
    <w:uiPriority w:val="0"/>
    <w:pPr>
      <w:keepNext/>
      <w:keepLines/>
      <w:spacing w:before="320" w:after="200"/>
    </w:pPr>
    <w:rPr>
      <w:rFonts w:ascii="Arial" w:hAnsi="Arial" w:eastAsia="Arial" w:cs="Arial"/>
      <w:b/>
      <w:bCs/>
    </w:rPr>
  </w:style>
  <w:style w:type="paragraph" w:styleId="7">
    <w:name w:val="heading 6"/>
    <w:basedOn w:val="1"/>
    <w:next w:val="1"/>
    <w:uiPriority w:val="0"/>
    <w:pPr>
      <w:keepNext/>
      <w:keepLines/>
      <w:spacing w:before="320" w:after="200"/>
    </w:pPr>
    <w:rPr>
      <w:rFonts w:ascii="Arial" w:hAnsi="Arial" w:eastAsia="Arial" w:cs="Arial"/>
      <w:b/>
      <w:bCs/>
      <w:sz w:val="22"/>
      <w:szCs w:val="22"/>
    </w:rPr>
  </w:style>
  <w:style w:type="character" w:default="1" w:styleId="8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Title"/>
    <w:basedOn w:val="1"/>
    <w:next w:val="1"/>
    <w:uiPriority w:val="0"/>
    <w:pPr>
      <w:spacing w:before="300" w:after="200"/>
    </w:pPr>
    <w:rPr>
      <w:sz w:val="48"/>
      <w:szCs w:val="48"/>
    </w:rPr>
  </w:style>
  <w:style w:type="paragraph" w:styleId="11">
    <w:name w:val="footer"/>
    <w:basedOn w:val="1"/>
    <w:uiPriority w:val="0"/>
    <w:pPr>
      <w:tabs>
        <w:tab w:val="center" w:pos="4153"/>
        <w:tab w:val="right" w:pos="8306"/>
      </w:tabs>
    </w:pPr>
  </w:style>
  <w:style w:type="paragraph" w:styleId="12">
    <w:name w:val="Subtitle"/>
    <w:basedOn w:val="1"/>
    <w:next w:val="1"/>
    <w:uiPriority w:val="0"/>
    <w:pPr>
      <w:spacing w:before="200" w:after="200"/>
    </w:pPr>
  </w:style>
  <w:style w:type="table" w:customStyle="1" w:styleId="13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4">
    <w:name w:val="_Style 10"/>
    <w:basedOn w:val="13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>
  <Pages>2</Pages>
  <TotalTime>0</TotalTime>
  <ScaleCrop>false</ScaleCrop>
  <LinksUpToDate>false</LinksUpToDate>
  <Application>WPS Office_12.2.0.23196_F1E327BC-269C-435d-A152-05C5408002CA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2026-03-05T09:49:05Z</dcterms:created>
  <dc:creator>ekate</dc:creator>
  <cp:lastModifiedBy>ekate</cp:lastModifiedBy>
  <dcterms:modified xsi:type="dcterms:W3CDTF">2026-03-05T09:49:57Z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B9AFE119C11242E9AADC169335E74A0A_12</vt:lpwstr>
  </property>
</Properties>
</file>