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12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ТЕХНИЧЕСКОЕ ЗАДАНИЕ</w:t>
      </w:r>
    </w:p>
    <w:p>
      <w:pPr>
        <w:pStyle w:val="Normal.0"/>
        <w:spacing w:after="0"/>
        <w:jc w:val="center"/>
        <w:rPr>
          <w:rFonts w:ascii="Times New Roman" w:cs="Times New Roman" w:hAnsi="Times New Roman" w:eastAsia="Times New Roman"/>
          <w:sz w:val="16"/>
          <w:szCs w:val="16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 xml:space="preserve">1. 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Требования к безопасности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качеству товара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>: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качество и безопасность товара должны соответствовать требованиям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установленным в соответствии с законодательством Российской Федерации в случае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если такие требования установлены к товару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являющемся предметом закупки</w:t>
      </w:r>
      <w:r>
        <w:rPr>
          <w:rFonts w:ascii="Times New Roman" w:hAnsi="Times New Roman"/>
          <w:sz w:val="24"/>
          <w:szCs w:val="24"/>
          <w:rtl w:val="0"/>
          <w:lang w:val="ru-RU"/>
        </w:rPr>
        <w:t>;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 xml:space="preserve">2. 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Требования к упаковке товара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>:</w:t>
      </w:r>
    </w:p>
    <w:p>
      <w:pPr>
        <w:pStyle w:val="Normal.0"/>
        <w:tabs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>-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товар поставляется в таре и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или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упаковке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обеспечивающей полную сохранность товара от всякого рода повреждений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порчи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уничтожения в период поставки до момента принятия его Заказчиком</w:t>
      </w:r>
      <w:r>
        <w:rPr>
          <w:rFonts w:ascii="Times New Roman" w:hAnsi="Times New Roman"/>
          <w:sz w:val="24"/>
          <w:szCs w:val="24"/>
          <w:rtl w:val="0"/>
          <w:lang w:val="ru-RU"/>
        </w:rPr>
        <w:t>;</w:t>
      </w:r>
    </w:p>
    <w:p>
      <w:pPr>
        <w:pStyle w:val="Normal.0"/>
        <w:tabs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 xml:space="preserve">3. 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Место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условия и сроки поставки товара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>:</w:t>
      </w:r>
    </w:p>
    <w:p>
      <w:pPr>
        <w:pStyle w:val="Normal.0"/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склад Заказчика по адресу г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Челябинск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Срок</w:t>
      </w:r>
      <w:r>
        <w:rPr>
          <w:rFonts w:ascii="Times New Roman" w:hAnsi="Times New Roman" w:hint="default"/>
          <w:rtl w:val="0"/>
          <w:lang w:val="ru-RU"/>
        </w:rPr>
        <w:t xml:space="preserve"> определяется в соответствии с проектом договора</w:t>
      </w:r>
      <w:r>
        <w:rPr>
          <w:rFonts w:ascii="Times New Roman" w:hAnsi="Times New Roman"/>
          <w:sz w:val="24"/>
          <w:szCs w:val="24"/>
          <w:rtl w:val="0"/>
          <w:lang w:val="ru-RU"/>
        </w:rPr>
        <w:t>;</w:t>
      </w:r>
    </w:p>
    <w:p>
      <w:pPr>
        <w:pStyle w:val="Normal.0"/>
        <w:shd w:val="clear" w:color="auto" w:fill="ffffff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4"/>
          <w:szCs w:val="24"/>
          <w:u w:val="single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>4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Вид приемки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 xml:space="preserve">: </w:t>
      </w:r>
      <w:r>
        <w:rPr>
          <w:rFonts w:ascii="Times New Roman" w:hAnsi="Times New Roman"/>
          <w:b w:val="1"/>
          <w:bCs w:val="1"/>
          <w:sz w:val="24"/>
          <w:szCs w:val="24"/>
          <w:u w:val="single"/>
          <w:rtl w:val="0"/>
          <w:lang w:val="ru-RU"/>
        </w:rPr>
        <w:t>_______</w:t>
      </w:r>
      <w:r>
        <w:rPr>
          <w:rFonts w:ascii="Times New Roman" w:hAnsi="Times New Roman" w:hint="default"/>
          <w:sz w:val="24"/>
          <w:szCs w:val="24"/>
          <w:u w:val="single"/>
          <w:rtl w:val="0"/>
          <w:lang w:val="ru-RU"/>
        </w:rPr>
        <w:t>ОТК</w:t>
      </w:r>
      <w:r>
        <w:rPr>
          <w:rFonts w:ascii="Times New Roman" w:hAnsi="Times New Roman"/>
          <w:sz w:val="24"/>
          <w:szCs w:val="24"/>
          <w:u w:val="single"/>
          <w:rtl w:val="0"/>
          <w:lang w:val="ru-RU"/>
        </w:rPr>
        <w:t>_</w:t>
      </w:r>
      <w:r>
        <w:rPr>
          <w:rFonts w:ascii="Times New Roman" w:hAnsi="Times New Roman"/>
          <w:b w:val="1"/>
          <w:bCs w:val="1"/>
          <w:sz w:val="24"/>
          <w:szCs w:val="24"/>
          <w:u w:val="single"/>
          <w:rtl w:val="0"/>
          <w:lang w:val="ru-RU"/>
        </w:rPr>
        <w:t>_______.</w:t>
      </w:r>
    </w:p>
    <w:p>
      <w:pPr>
        <w:pStyle w:val="Normal.0"/>
        <w:shd w:val="clear" w:color="auto" w:fill="ffffff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0"/>
          <w:szCs w:val="20"/>
        </w:rPr>
      </w:pPr>
      <w:r>
        <w:rPr>
          <w:rFonts w:ascii="Times New Roman" w:hAnsi="Times New Roman"/>
          <w:i w:val="1"/>
          <w:iCs w:val="1"/>
          <w:sz w:val="20"/>
          <w:szCs w:val="20"/>
          <w:rtl w:val="0"/>
          <w:lang w:val="ru-RU"/>
        </w:rPr>
        <w:t xml:space="preserve">                                                  (</w:t>
      </w:r>
      <w:r>
        <w:rPr>
          <w:rFonts w:ascii="Times New Roman" w:hAnsi="Times New Roman" w:hint="default"/>
          <w:i w:val="1"/>
          <w:iCs w:val="1"/>
          <w:sz w:val="20"/>
          <w:szCs w:val="20"/>
          <w:rtl w:val="0"/>
          <w:lang w:val="ru-RU"/>
        </w:rPr>
        <w:t>ВП</w:t>
      </w:r>
      <w:r>
        <w:rPr>
          <w:rFonts w:ascii="Times New Roman" w:hAnsi="Times New Roman"/>
          <w:i w:val="1"/>
          <w:iCs w:val="1"/>
          <w:sz w:val="20"/>
          <w:szCs w:val="20"/>
          <w:rtl w:val="0"/>
          <w:lang w:val="ru-RU"/>
        </w:rPr>
        <w:t>/</w:t>
      </w:r>
      <w:r>
        <w:rPr>
          <w:rFonts w:ascii="Times New Roman" w:hAnsi="Times New Roman" w:hint="default"/>
          <w:i w:val="1"/>
          <w:iCs w:val="1"/>
          <w:sz w:val="20"/>
          <w:szCs w:val="20"/>
          <w:rtl w:val="0"/>
          <w:lang w:val="ru-RU"/>
        </w:rPr>
        <w:t>ОТК</w:t>
      </w:r>
      <w:r>
        <w:rPr>
          <w:rFonts w:ascii="Times New Roman" w:hAnsi="Times New Roman"/>
          <w:i w:val="1"/>
          <w:iCs w:val="1"/>
          <w:sz w:val="20"/>
          <w:szCs w:val="20"/>
          <w:rtl w:val="0"/>
          <w:lang w:val="ru-RU"/>
        </w:rPr>
        <w:t>)</w:t>
      </w:r>
    </w:p>
    <w:p>
      <w:pPr>
        <w:pStyle w:val="Normal.0"/>
        <w:shd w:val="clear" w:color="auto" w:fill="ffffff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5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Технические характеристики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ru-RU"/>
        </w:rPr>
        <w:t>:</w:t>
      </w:r>
    </w:p>
    <w:p>
      <w:pPr>
        <w:pStyle w:val="Normal.0"/>
        <w:shd w:val="clear" w:color="auto" w:fill="ffffff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Normal.0"/>
        <w:shd w:val="clear" w:color="auto" w:fill="ffffff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Normal.0"/>
        <w:shd w:val="clear" w:color="auto" w:fill="ffffff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tbl>
      <w:tblPr>
        <w:tblW w:w="104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18"/>
        <w:gridCol w:w="2274"/>
        <w:gridCol w:w="5042"/>
        <w:gridCol w:w="2448"/>
      </w:tblGrid>
      <w:tr>
        <w:tblPrEx>
          <w:shd w:val="clear" w:color="auto" w:fill="d0ddef"/>
        </w:tblPrEx>
        <w:trPr>
          <w:trHeight w:val="823" w:hRule="atLeast"/>
        </w:trPr>
        <w:tc>
          <w:tcPr>
            <w:tcW w:type="dxa" w:w="7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  <w:lang w:val="ru-RU"/>
              </w:rPr>
              <w:t>№ п</w:t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22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  <w:lang w:val="ru-RU"/>
              </w:rPr>
              <w:t xml:space="preserve">Наименование </w:t>
            </w:r>
          </w:p>
        </w:tc>
        <w:tc>
          <w:tcPr>
            <w:tcW w:type="dxa" w:w="50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  <w:lang w:val="ru-RU"/>
              </w:rPr>
              <w:t>Технические характеристики</w:t>
            </w:r>
          </w:p>
        </w:tc>
        <w:tc>
          <w:tcPr>
            <w:tcW w:type="dxa" w:w="24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  <w:lang w:val="ru-RU"/>
              </w:rPr>
              <w:t>Единицы измерения</w:t>
            </w:r>
          </w:p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7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22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50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24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4</w:t>
            </w:r>
          </w:p>
        </w:tc>
      </w:tr>
      <w:tr>
        <w:tblPrEx>
          <w:shd w:val="clear" w:color="auto" w:fill="d0ddef"/>
        </w:tblPrEx>
        <w:trPr>
          <w:trHeight w:val="1200" w:hRule="atLeast"/>
        </w:trPr>
        <w:tc>
          <w:tcPr>
            <w:tcW w:type="dxa" w:w="7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1.</w:t>
            </w:r>
          </w:p>
        </w:tc>
        <w:tc>
          <w:tcPr>
            <w:tcW w:type="dxa" w:w="22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hd w:val="nil" w:color="auto" w:fill="auto"/>
                <w:rtl w:val="0"/>
                <w:lang w:val="ru-RU"/>
              </w:rPr>
              <w:t xml:space="preserve">.04613 </w:t>
            </w: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Кронштейн</w:t>
            </w:r>
          </w:p>
        </w:tc>
        <w:tc>
          <w:tcPr>
            <w:tcW w:type="dxa" w:w="50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rFonts w:ascii="Times New Roman" w:cs="Times New Roman" w:hAnsi="Times New Roman" w:eastAsia="Times New Roman"/>
                <w:spacing w:val="-8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Габаритные размеры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: 20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255,5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126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spacing w:val="-8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изготавливается в соответствии с чертежом К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.04613 (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приложение чертеж К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.04613)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Материал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Сталь 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10, 20 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ГОСТ 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1050-2013</w:t>
            </w:r>
          </w:p>
        </w:tc>
        <w:tc>
          <w:tcPr>
            <w:tcW w:type="dxa" w:w="24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d0ddef"/>
        </w:tblPrEx>
        <w:trPr>
          <w:trHeight w:val="1500" w:hRule="atLeast"/>
        </w:trPr>
        <w:tc>
          <w:tcPr>
            <w:tcW w:type="dxa" w:w="7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2.</w:t>
            </w:r>
          </w:p>
        </w:tc>
        <w:tc>
          <w:tcPr>
            <w:tcW w:type="dxa" w:w="22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hd w:val="nil" w:color="auto" w:fill="auto"/>
                <w:rtl w:val="0"/>
                <w:lang w:val="ru-RU"/>
              </w:rPr>
              <w:t xml:space="preserve">.04641 </w:t>
            </w: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Вилка правая</w:t>
            </w:r>
          </w:p>
        </w:tc>
        <w:tc>
          <w:tcPr>
            <w:tcW w:type="dxa" w:w="50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rFonts w:ascii="Times New Roman" w:cs="Times New Roman" w:hAnsi="Times New Roman" w:eastAsia="Times New Roman"/>
                <w:spacing w:val="-8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Габаритные размеры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: 16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102,6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74,5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spacing w:val="-8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изготавливается в соответствии с чертежом К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.04641 (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приложение чертеж К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.04641)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Материал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Сталь 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45 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ГОСТ 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1050-2013, 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Сталь 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40</w:t>
            </w:r>
            <w:r>
              <w:rPr>
                <w:rFonts w:ascii="Times New Roman" w:hAnsi="Times New Roman" w:hint="default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Х ГОСТ </w:t>
            </w:r>
            <w:r>
              <w:rPr>
                <w:rFonts w:ascii="Times New Roman" w:hAnsi="Times New Roman"/>
                <w:spacing w:val="-8"/>
                <w:sz w:val="24"/>
                <w:szCs w:val="24"/>
                <w:shd w:val="nil" w:color="auto" w:fill="auto"/>
                <w:rtl w:val="0"/>
                <w:lang w:val="ru-RU"/>
              </w:rPr>
              <w:t>4543-71</w:t>
            </w:r>
          </w:p>
        </w:tc>
        <w:tc>
          <w:tcPr>
            <w:tcW w:type="dxa" w:w="24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</w:tr>
    </w:tbl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Основной текст (2)1"/>
        <w:shd w:val="clear" w:color="auto" w:fill="auto"/>
        <w:spacing w:line="240" w:lineRule="auto"/>
        <w:rPr>
          <w:rFonts w:ascii="Times New Roman" w:cs="Times New Roman" w:hAnsi="Times New Roman" w:eastAsia="Times New Roman"/>
          <w:b w:val="0"/>
          <w:bCs w:val="0"/>
          <w:outline w:val="0"/>
          <w:color w:val="333333"/>
          <w:sz w:val="22"/>
          <w:szCs w:val="22"/>
          <w:u w:color="333333"/>
          <w14:textFill>
            <w14:solidFill>
              <w14:srgbClr w14:val="333333"/>
            </w14:solidFill>
          </w14:textFill>
        </w:rPr>
      </w:pPr>
    </w:p>
    <w:p>
      <w:pPr>
        <w:pStyle w:val="Normal.0"/>
        <w:ind w:firstLine="283"/>
        <w:jc w:val="both"/>
      </w:pPr>
      <w:r>
        <w:rPr>
          <w:rFonts w:ascii="Times New Roman" w:hAnsi="Times New Roman"/>
          <w:rtl w:val="0"/>
          <w:lang w:val="ru-RU"/>
        </w:rPr>
        <w:t xml:space="preserve"> </w:t>
      </w:r>
    </w:p>
    <w:sectPr>
      <w:headerReference w:type="default" r:id="rId4"/>
      <w:footerReference w:type="default" r:id="rId5"/>
      <w:pgSz w:w="11900" w:h="16840" w:orient="portrait"/>
      <w:pgMar w:top="709" w:right="566" w:bottom="568" w:left="85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Пункты"/>
  </w:abstractNum>
  <w:abstractNum w:abstractNumId="1">
    <w:multiLevelType w:val="hybridMultilevel"/>
    <w:styleLink w:val="Пункты"/>
    <w:lvl w:ilvl="0">
      <w:start w:val="1"/>
      <w:numFmt w:val="bullet"/>
      <w:suff w:val="tab"/>
      <w:lvlText w:val="-"/>
      <w:lvlJc w:val="left"/>
      <w:pPr>
        <w:tabs>
          <w:tab w:val="left" w:pos="284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left" w:pos="284"/>
        </w:tabs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left" w:pos="284"/>
        </w:tabs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left" w:pos="284"/>
        </w:tabs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left" w:pos="284"/>
        </w:tabs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left" w:pos="284"/>
        </w:tabs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left" w:pos="284"/>
        </w:tabs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left" w:pos="284"/>
        </w:tabs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left" w:pos="284"/>
        </w:tabs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Пункты">
    <w:name w:val="Пункты"/>
    <w:pPr>
      <w:numPr>
        <w:numId w:val="1"/>
      </w:numPr>
    </w:pPr>
  </w:style>
  <w:style w:type="paragraph" w:styleId="Основной текст (2)1">
    <w:name w:val="Основной текст (2)1"/>
    <w:next w:val="Основной текст (2)1"/>
    <w:pPr>
      <w:keepNext w:val="0"/>
      <w:keepLines w:val="0"/>
      <w:pageBreakBefore w:val="0"/>
      <w:widowControl w:val="1"/>
      <w:shd w:val="clear" w:color="auto" w:fill="ffffff"/>
      <w:suppressAutoHyphens w:val="0"/>
      <w:bidi w:val="0"/>
      <w:spacing w:before="0" w:after="0" w:line="240" w:lineRule="atLeast"/>
      <w:ind w:left="0" w:right="0" w:firstLine="0"/>
      <w:jc w:val="left"/>
      <w:outlineLvl w:val="9"/>
    </w:pPr>
    <w:rPr>
      <w:rFonts w:ascii="Calibri" w:cs="Calibri" w:hAnsi="Calibri" w:eastAsia="Calibri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5"/>
      <w:szCs w:val="15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