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EE2" w:rsidRDefault="00851EE2" w:rsidP="00851EE2">
      <w:bookmarkStart w:id="0" w:name="_GoBack"/>
      <w:bookmarkEnd w:id="0"/>
      <w:r>
        <w:tab/>
        <w:t>Для реконструкции Здание</w:t>
      </w:r>
      <w:r w:rsidR="00AE5976">
        <w:t xml:space="preserve"> РП -141 10/6 кВ ул. Профсоюзов</w:t>
      </w:r>
      <w:r>
        <w:t xml:space="preserve"> требуется поставка модульного здания с площадкой обслуживания и оборудованием 3РУ-6кВ согласно опросного листа.</w:t>
      </w:r>
    </w:p>
    <w:p w:rsidR="00851EE2" w:rsidRDefault="00851EE2" w:rsidP="00851EE2">
      <w:r>
        <w:t xml:space="preserve">                                                     </w:t>
      </w:r>
    </w:p>
    <w:p w:rsidR="00851EE2" w:rsidRDefault="00851EE2" w:rsidP="00851EE2">
      <w:r>
        <w:t>1. Все оборудование изделия, материалы и комплектующие должны быть российских производителей и произведены на территории Российской Федерации,</w:t>
      </w:r>
      <w:r w:rsidR="00AE5976">
        <w:t xml:space="preserve"> </w:t>
      </w:r>
      <w:r>
        <w:t xml:space="preserve">Республики Беларусь и Республики Казахстан; </w:t>
      </w:r>
    </w:p>
    <w:p w:rsidR="00851EE2" w:rsidRDefault="00851EE2" w:rsidP="00851EE2">
      <w:r>
        <w:t>2. Вторичная коммутация на панелях и пультах управления (Приказ Минэнерго России от.19.06.2003.N.229 (ред. от 13.02.2019):</w:t>
      </w:r>
    </w:p>
    <w:p w:rsidR="00851EE2" w:rsidRDefault="00851EE2" w:rsidP="00851EE2">
      <w:r>
        <w:t>- на лицевой и оборотной сторонах должны быть надписи, указывающие их назначение;</w:t>
      </w:r>
    </w:p>
    <w:p w:rsidR="00851EE2" w:rsidRDefault="00851EE2" w:rsidP="00851EE2">
      <w:r>
        <w:t>- аппаратура должна иметь с обеих сторон надписи или маркировку согласно принципиальных схем. Расположение надписей или маркировки должно однозначно определять соответствующий аппарат;</w:t>
      </w:r>
    </w:p>
    <w:p w:rsidR="00851EE2" w:rsidRDefault="00851EE2" w:rsidP="00851EE2">
      <w:r>
        <w:t>-на панели с аппаратурой, относящейся к разным присоединениям или разным устройствам РЗА одного присоединения, которые могут проверяться раздельно, должны быть нанесены четкие разграничительные линии и должна быть обеспечена возможность установки ограждения при проверке отдельных устройств РЗА.</w:t>
      </w:r>
    </w:p>
    <w:p w:rsidR="00851EE2" w:rsidRDefault="00851EE2" w:rsidP="00851EE2">
      <w:r>
        <w:t xml:space="preserve">-надписи у устройств, которыми управляет оперативный персонал, должны четко указывать назначение этих устройств.          </w:t>
      </w:r>
    </w:p>
    <w:p w:rsidR="00851EE2" w:rsidRDefault="00851EE2" w:rsidP="00851EE2">
      <w:r>
        <w:t>3. Камеры (панели)  должны представлять собой металлоконструкцию с перегородками, сваренную из листовых гнутых металлических профилей толщиной не менее 2 мм, том числе двери и перегородки ГОСТ 19904-90, ГОСТ 14694-76. Смежные камеры (панели) должны быть отделены друг от друга сплошной металлической перегородкой. Основание камер (панелей) выполнить из прямоугольной трубы размерами не менее 100х60х3. Покры</w:t>
      </w:r>
      <w:r>
        <w:lastRenderedPageBreak/>
        <w:t>тие камер должно быть выполнено на основе эпоксидно-полиэфирного порошка и иметь толщину не менее 80 мкм, как внешне так и внутренне ГОСТ 9.410-88 (цвет RAL 7035 или RAL 7032);</w:t>
      </w:r>
    </w:p>
    <w:p w:rsidR="00851EE2" w:rsidRDefault="00851EE2" w:rsidP="00851EE2">
      <w:r>
        <w:t>4. На фасадной стороне камер (панелей) предусмотреть таблички на металлической основе, закрепленные с помощью металлических клепок, для надписи и схемы  согласно опросному листу (ОЛ). Все надписи и схемы должны быть контрастными (читаемыми) по отношению к цвету фасада;</w:t>
      </w:r>
    </w:p>
    <w:p w:rsidR="00851EE2" w:rsidRDefault="00851EE2" w:rsidP="00851EE2">
      <w:r>
        <w:t>5. Маркировку шин выполнить с применением термоусадочных трубок;</w:t>
      </w:r>
    </w:p>
    <w:p w:rsidR="00851EE2" w:rsidRDefault="00851EE2" w:rsidP="00851EE2">
      <w:r>
        <w:t>6. Выполнить контрольную сборку камер (панелей). После контрольной сборки произвести испытания. Проведение контрольных сборок и испытаний -подтвердить документально (оформить и предоставить акты) ;</w:t>
      </w:r>
    </w:p>
    <w:p w:rsidR="00851EE2" w:rsidRDefault="00851EE2" w:rsidP="00851EE2">
      <w:r>
        <w:t>7. После выполнения контрольной сборки и разборки оборудования перед упаковкой для транспортировки ОБЯЗАТЕЛЬНО продуть сжатым воздухом;</w:t>
      </w:r>
    </w:p>
    <w:p w:rsidR="00851EE2" w:rsidRDefault="00851EE2" w:rsidP="00851EE2">
      <w:r>
        <w:t>8. Двери камер (панелей) должны открываться в сторону выхода, как показано на плане ОЛ;</w:t>
      </w:r>
    </w:p>
    <w:p w:rsidR="00851EE2" w:rsidRDefault="00851EE2" w:rsidP="00851EE2">
      <w:r>
        <w:t>9. Предусмотреть в камерах (панелях) рукоятки для открывания и закрывания дверей;</w:t>
      </w:r>
    </w:p>
    <w:p w:rsidR="00851EE2" w:rsidRDefault="00851EE2" w:rsidP="00851EE2">
      <w:r>
        <w:t>10. В камерах (панелях) предусмотреть конструкцию для закрепления кабельной линии под хомут;</w:t>
      </w:r>
    </w:p>
    <w:p w:rsidR="00851EE2" w:rsidRDefault="00851EE2" w:rsidP="00851EE2">
      <w:r>
        <w:t>11. Комплектно предусмотреть хомуты для закрепления КЛ;</w:t>
      </w:r>
    </w:p>
    <w:p w:rsidR="00851EE2" w:rsidRDefault="00851EE2" w:rsidP="00851EE2">
      <w:r>
        <w:t>12. Перед транспортировкой камеры (панели) разъединить и упаковать.</w:t>
      </w:r>
    </w:p>
    <w:p w:rsidR="00851EE2" w:rsidRDefault="00851EE2" w:rsidP="00851EE2">
      <w:r>
        <w:t>13. В камерах (панелях) предусмотреть болтовое соединение для контура заземления.</w:t>
      </w:r>
    </w:p>
    <w:p w:rsidR="00851EE2" w:rsidRDefault="00851EE2" w:rsidP="00851EE2">
      <w:r>
        <w:t>14.Все болтовые соединения должны быть выполнены с применением гроверной и плоских шайб;</w:t>
      </w:r>
    </w:p>
    <w:p w:rsidR="00851EE2" w:rsidRDefault="00851EE2" w:rsidP="00851EE2">
      <w:r>
        <w:lastRenderedPageBreak/>
        <w:t>15. Шинные мосты должны быть в разборном металлическом корпусе;</w:t>
      </w:r>
    </w:p>
    <w:p w:rsidR="00851EE2" w:rsidRDefault="00851EE2" w:rsidP="00851EE2">
      <w:r>
        <w:t>16. На корпусах панелей и ячеек КСО предусмотреть металлические выпуски для параллельного соединения с главной заземляющей шиной;</w:t>
      </w:r>
    </w:p>
    <w:p w:rsidR="00851EE2" w:rsidRDefault="00851EE2" w:rsidP="00851EE2">
      <w:r>
        <w:t>17. Схемы вторичных цепей обязательно согласовать с заказчиком;</w:t>
      </w:r>
    </w:p>
    <w:p w:rsidR="00851EE2" w:rsidRDefault="00851EE2" w:rsidP="00851EE2">
      <w:r>
        <w:t>18. Монтаж токовых цепей выполнить согласно ПУЭ 3.4.4, 3.4.23, 1.7.46, ПТЭЭП 2.6.24 .</w:t>
      </w:r>
    </w:p>
    <w:p w:rsidR="00851EE2" w:rsidRDefault="00851EE2" w:rsidP="00851EE2">
      <w:r>
        <w:t>29. Межпроверочный интервал трансформаторов тока минимум 4 года.</w:t>
      </w:r>
    </w:p>
    <w:p w:rsidR="00851EE2" w:rsidRDefault="00851EE2" w:rsidP="00851EE2">
      <w:r>
        <w:t xml:space="preserve">21. Все поставляемое оборудование должно быть в упаковке, обеспечивающей сохранность товара. </w:t>
      </w:r>
    </w:p>
    <w:p w:rsidR="00AB4806" w:rsidRDefault="00851EE2" w:rsidP="00851EE2">
      <w:r>
        <w:t>22.Предусмотреть съемные перегородки из несгораемого материала в местах захода кабелей для  ячеек КСО (п.491 Приказ Минэнерго России от 04.10.2022 N 1070).</w:t>
      </w:r>
    </w:p>
    <w:p w:rsidR="00851EE2" w:rsidRPr="00851EE2" w:rsidRDefault="00851EE2" w:rsidP="00851EE2">
      <w:pPr>
        <w:rPr>
          <w:b/>
        </w:rPr>
      </w:pPr>
      <w:r w:rsidRPr="00851EE2">
        <w:rPr>
          <w:b/>
        </w:rPr>
        <w:t>Примечание по конструктиву ЗРУ</w:t>
      </w:r>
    </w:p>
    <w:p w:rsidR="00851EE2" w:rsidRDefault="00851EE2" w:rsidP="00851EE2"/>
    <w:p w:rsidR="00851EE2" w:rsidRDefault="00851EE2" w:rsidP="00851EE2">
      <w:r>
        <w:t>-</w:t>
      </w:r>
      <w:r>
        <w:tab/>
      </w:r>
      <w:r>
        <w:tab/>
        <w:t>Блочно-модульное здание (БМЗ) ЗРУ поставляется комплектно, в максимальной заводской готовности, с установленным оборудованием, смонтированными инженерными системами, вторичными цепями, цепями собственных нужд, предварительной сборкой и проверкой всех систем.</w:t>
      </w:r>
    </w:p>
    <w:p w:rsidR="00851EE2" w:rsidRDefault="00851EE2" w:rsidP="00851EE2">
      <w:r>
        <w:t>-</w:t>
      </w:r>
      <w:r>
        <w:tab/>
      </w:r>
      <w:r>
        <w:tab/>
        <w:t xml:space="preserve">БМЗ ЗРУ разрабатывается и изготавливается в соотстветсвии с ТУ 5281-011-65711427-2017 с соблюдением действующих стандартов, норм и правил в соответствии с требованиями и правилами пожарной безопасности. </w:t>
      </w:r>
    </w:p>
    <w:p w:rsidR="00851EE2" w:rsidRDefault="00851EE2" w:rsidP="00851EE2">
      <w:r>
        <w:t>-</w:t>
      </w:r>
      <w:r>
        <w:tab/>
        <w:t xml:space="preserve"> </w:t>
      </w:r>
      <w:r>
        <w:tab/>
        <w:t>Климатическое исполнение по ГОСТ 15150 - УХЛ1.</w:t>
      </w:r>
    </w:p>
    <w:p w:rsidR="00851EE2" w:rsidRDefault="00851EE2" w:rsidP="00851EE2">
      <w:r>
        <w:t>-</w:t>
      </w:r>
      <w:r>
        <w:tab/>
      </w:r>
      <w:r>
        <w:tab/>
        <w:t>Степень огнестойкости здания - IV.</w:t>
      </w:r>
    </w:p>
    <w:p w:rsidR="00851EE2" w:rsidRDefault="00851EE2" w:rsidP="00851EE2">
      <w:r>
        <w:t>-</w:t>
      </w:r>
      <w:r>
        <w:tab/>
      </w:r>
      <w:r>
        <w:tab/>
        <w:t>Категория здания по СП12.13130.2009 - В.</w:t>
      </w:r>
    </w:p>
    <w:p w:rsidR="00AE5976" w:rsidRDefault="00851EE2" w:rsidP="00AE5976">
      <w:r>
        <w:lastRenderedPageBreak/>
        <w:t>-</w:t>
      </w:r>
      <w:r>
        <w:tab/>
        <w:t xml:space="preserve"> </w:t>
      </w:r>
      <w:r>
        <w:tab/>
      </w:r>
      <w:r w:rsidR="00AE5976">
        <w:t>Несущие конструкции здания ЗРУ должны иметь устройства для строповки при погрузочно-разгрузочных работах, а также должны быть рассчитаны на транспортные нагрузки.</w:t>
      </w:r>
      <w:r w:rsidR="00AE5976">
        <w:tab/>
      </w:r>
    </w:p>
    <w:p w:rsidR="00AE5976" w:rsidRDefault="00AE5976" w:rsidP="00AE5976">
      <w:r>
        <w:t>-</w:t>
      </w:r>
      <w:r>
        <w:tab/>
      </w:r>
      <w:r>
        <w:tab/>
        <w:t>ЗРУ-6кВ  представляет собой  одноэтажное здание блочно-модульного типа габаритами 6300х3200 состоящее из одного блока (модуля) с оболочкой из сэндвич панелей толщиной не менее 100 мм, устанавливаемых на металлическую площадку на существующий свайном фундамент. Конструктив и габариты модульного здания и площадки обслуживания согласовать  с заказчиком. .</w:t>
      </w:r>
    </w:p>
    <w:p w:rsidR="00851EE2" w:rsidRDefault="00AE5976" w:rsidP="00AE5976">
      <w:r>
        <w:t>-</w:t>
      </w:r>
      <w:r>
        <w:tab/>
      </w:r>
      <w:r>
        <w:tab/>
        <w:t>Каркас блок-бокса конструкция из стальной профильной трубы, жесткие неразъемные узлы выполнены сварным соединением. Сварные соединения стальных конструкций выполняются в соответствии со СНиП II-23-81. Разъемные узлы крепятся с помощью болтов.</w:t>
      </w:r>
      <w:r w:rsidR="00851EE2">
        <w:t>-</w:t>
      </w:r>
      <w:r w:rsidR="00851EE2">
        <w:tab/>
        <w:t xml:space="preserve">Крыша двухскатная, цельносварная металлическая из листа толщиной 2 мм с минераловатным утеплителем толщиной от 60 мм до 200 мм в наивысшей точке. </w:t>
      </w:r>
    </w:p>
    <w:p w:rsidR="00851EE2" w:rsidRDefault="00851EE2" w:rsidP="00851EE2">
      <w:r>
        <w:t>-</w:t>
      </w:r>
      <w:r>
        <w:tab/>
        <w:t xml:space="preserve">Стены изготавливаются из трехслойных сэндвич-панелей с минераловатным утеплителем толщиной не менее 100 мм.  </w:t>
      </w:r>
    </w:p>
    <w:p w:rsidR="00851EE2" w:rsidRDefault="00851EE2" w:rsidP="00851EE2">
      <w:r>
        <w:t>-</w:t>
      </w:r>
      <w:r>
        <w:tab/>
      </w:r>
      <w:r>
        <w:tab/>
        <w:t>Кровлю выполнить из профлиста с утеплением и гидро-ветрозашитой. Предусмотреть ливневку кровли и водоотводы. .</w:t>
      </w:r>
    </w:p>
    <w:p w:rsidR="00851EE2" w:rsidRDefault="00851EE2" w:rsidP="00851EE2">
      <w:r>
        <w:t>-</w:t>
      </w:r>
      <w:r>
        <w:tab/>
      </w:r>
      <w:r>
        <w:tab/>
        <w:t>Пол здания - металлический лист с рифленой противоскользящей поверхностью, утепленный минераловатным утеплителем на базальтовой основе не менее 100 мм.</w:t>
      </w:r>
    </w:p>
    <w:p w:rsidR="00851EE2" w:rsidRDefault="00851EE2" w:rsidP="00851EE2">
      <w:r>
        <w:t>-</w:t>
      </w:r>
      <w:r>
        <w:tab/>
        <w:t xml:space="preserve">Оформление внешнего вида здания согласовывается с Заказчиком. </w:t>
      </w:r>
    </w:p>
    <w:p w:rsidR="00851EE2" w:rsidRDefault="00851EE2" w:rsidP="00851EE2">
      <w:r>
        <w:t>-</w:t>
      </w:r>
      <w:r>
        <w:tab/>
      </w:r>
      <w:r>
        <w:tab/>
        <w:t>Выбор типов и марок отделочных материалов выполняется на заводе-изготовителе</w:t>
      </w:r>
    </w:p>
    <w:p w:rsidR="00851EE2" w:rsidRDefault="00851EE2" w:rsidP="00851EE2">
      <w:r>
        <w:t>-</w:t>
      </w:r>
      <w:r>
        <w:tab/>
        <w:t>здания в соответствии с требованиями действующих нормативных документов;</w:t>
      </w:r>
    </w:p>
    <w:p w:rsidR="00851EE2" w:rsidRDefault="00851EE2" w:rsidP="00851EE2">
      <w:r>
        <w:lastRenderedPageBreak/>
        <w:t>-</w:t>
      </w:r>
      <w:r>
        <w:tab/>
      </w:r>
      <w:r>
        <w:tab/>
        <w:t>Доступ в здание с уровня планировки осуществляется по металлическим лестницам с входными площадками, входящими в комплект поставки здания.</w:t>
      </w:r>
    </w:p>
    <w:p w:rsidR="00851EE2" w:rsidRDefault="00851EE2" w:rsidP="00851EE2">
      <w:r>
        <w:t>-</w:t>
      </w:r>
      <w:r>
        <w:tab/>
      </w:r>
      <w:r>
        <w:tab/>
        <w:t>Заводом-изготовителем модульного здания ЗРУ-6 кВ предусматривается внутреннее  освещение (рабочее  и  аварийное), розеточная сеть, отопление.</w:t>
      </w:r>
    </w:p>
    <w:p w:rsidR="00851EE2" w:rsidRDefault="00851EE2" w:rsidP="00851EE2">
      <w:r>
        <w:t>-</w:t>
      </w:r>
      <w:r>
        <w:tab/>
        <w:t xml:space="preserve">Внутренняя электропроводка (к ШСН, к обогревателям, освещению, розеткам, ), выполнена кабелем ВВГпнг-LS укладывается в пластиковые короба, проходящие вдоль стен внутри БМЗ. </w:t>
      </w:r>
    </w:p>
    <w:p w:rsidR="00851EE2" w:rsidRDefault="00851EE2" w:rsidP="00851EE2">
      <w:r>
        <w:t xml:space="preserve">       Электропроводка аварийного освещения выполнена кабелем ВВГпнг-FRLS. Вся внутренняя проводка входит в комплект поставки.</w:t>
      </w:r>
    </w:p>
    <w:p w:rsidR="00851EE2" w:rsidRDefault="00851EE2" w:rsidP="00851EE2">
      <w:r>
        <w:t>-</w:t>
      </w:r>
      <w:r>
        <w:tab/>
      </w:r>
      <w:r>
        <w:tab/>
        <w:t xml:space="preserve">Для отопления применить электрические обогреватели с терморегуляторами. Предусмотреть обогрев  по требованиям к размещаемой аппаратуре, с датчиками температуры и автоматической регулировкой температуры +5 ˚С в эксплуатационном режиме, +18 ˚С при проведении ремонтных работ и работ по техническому обслуживанию. </w:t>
      </w:r>
    </w:p>
    <w:p w:rsidR="00851EE2" w:rsidRDefault="00851EE2" w:rsidP="00851EE2">
      <w:r>
        <w:t>-</w:t>
      </w:r>
      <w:r>
        <w:tab/>
      </w:r>
      <w:r>
        <w:tab/>
        <w:t>Освещение  выполнить на основе светодиодных светильников напряжением U≈220В,согласно нормам освещенности (СП52.13330.2016).</w:t>
      </w:r>
    </w:p>
    <w:p w:rsidR="00851EE2" w:rsidRDefault="00851EE2" w:rsidP="00851EE2">
      <w:r>
        <w:t>-</w:t>
      </w:r>
      <w:r>
        <w:tab/>
      </w:r>
      <w:r>
        <w:tab/>
        <w:t>Вентиляция  естественная, с возможность установки утепленного экрана  в зимний период на вентиляционные решетки.. На вентиляционных жалюзи, а также прочие отверстия в наружных стенах для предотвращения проникновения животных и птиц должны быть защищены сетками или решетками с ячейками размером 10х10 мм с соответствии с п.4.2.109 ПУЭ. Над дверьми проемами установить металлические козырьки.</w:t>
      </w:r>
    </w:p>
    <w:p w:rsidR="00851EE2" w:rsidRDefault="00851EE2" w:rsidP="00851EE2">
      <w:r>
        <w:t>-</w:t>
      </w:r>
      <w:r>
        <w:tab/>
        <w:t xml:space="preserve"> Двери изготовить из металла толщиной не менее 2,5мм. Двери предусмотреть антивандальные, утепленные  с внутренним замком по типу реечного механизма с возможностью открывания с наружи и изнутри (п. 4.1.23 п/п 7 ПУЭ). Заземление дверей  выполнить гибким медным проводником.</w:t>
      </w:r>
      <w:r>
        <w:tab/>
      </w:r>
    </w:p>
    <w:p w:rsidR="00851EE2" w:rsidRDefault="00851EE2" w:rsidP="00851EE2">
      <w:r>
        <w:lastRenderedPageBreak/>
        <w:t>-</w:t>
      </w:r>
      <w:r>
        <w:tab/>
        <w:t xml:space="preserve">В ЗРУ в заводских условия должны быть, смонтированы внутренний контур заземления, вторичные сети, освещение и отопление. Все оборудование (ячейки КСО, панели, щиты и пр.) должно быть смонтировано в заводской готовности, присоединено и промаркировано к контуру заземления. </w:t>
      </w:r>
    </w:p>
    <w:p w:rsidR="00851EE2" w:rsidRDefault="00851EE2" w:rsidP="00851EE2">
      <w:r>
        <w:t>-</w:t>
      </w:r>
      <w:r>
        <w:tab/>
      </w:r>
      <w:r>
        <w:tab/>
        <w:t>Предусмотреть надписи на дверях:</w:t>
      </w:r>
    </w:p>
    <w:p w:rsidR="00851EE2" w:rsidRDefault="00851EE2" w:rsidP="00851EE2">
      <w:r>
        <w:t>-На дверях: надписи ООО "СГЭС"; Диспетчерская служба 32-35-35.</w:t>
      </w:r>
    </w:p>
    <w:p w:rsidR="00851EE2" w:rsidRDefault="00851EE2" w:rsidP="00851EE2">
      <w:r>
        <w:t>-</w:t>
      </w:r>
      <w:r>
        <w:tab/>
      </w:r>
      <w:r>
        <w:tab/>
        <w:t>Предусмотреть на дверях помещений знаки "Осторожно! Электрическое напряжение". Фон и кант желтый, кайма и стрелка черные.</w:t>
      </w:r>
    </w:p>
    <w:p w:rsidR="00851EE2" w:rsidRDefault="00851EE2" w:rsidP="00851EE2">
      <w:r>
        <w:t>-</w:t>
      </w:r>
      <w:r>
        <w:tab/>
      </w:r>
      <w:r>
        <w:tab/>
        <w:t xml:space="preserve">Предусмотреть молниезащиту ЗРУ. </w:t>
      </w:r>
    </w:p>
    <w:p w:rsidR="00851EE2" w:rsidRDefault="00851EE2" w:rsidP="00851EE2">
      <w:r>
        <w:t>-</w:t>
      </w:r>
      <w:r>
        <w:tab/>
      </w:r>
      <w:r>
        <w:tab/>
        <w:t xml:space="preserve">Для присоединения к вводным ячейкам КСО на здании БМЗ предусмотреть герметичные воздушные ввода. </w:t>
      </w:r>
    </w:p>
    <w:p w:rsidR="00851EE2" w:rsidRDefault="00851EE2" w:rsidP="00851EE2">
      <w:r>
        <w:t>-</w:t>
      </w:r>
      <w:r>
        <w:tab/>
      </w:r>
      <w:r>
        <w:tab/>
        <w:t>В полу ЗРУ  должны быть предусмотрены технологические отверстия для отходящих кабелей .</w:t>
      </w:r>
    </w:p>
    <w:p w:rsidR="00851EE2" w:rsidRDefault="00851EE2" w:rsidP="00851EE2">
      <w:r>
        <w:t>-</w:t>
      </w:r>
      <w:r>
        <w:tab/>
        <w:t>Для шкафов Зашиты и автоматики 1Т,2 и  ШСН, предусмотрены технологические отверстия в БМЗ для подвода кабелей.</w:t>
      </w:r>
    </w:p>
    <w:p w:rsidR="00851EE2" w:rsidRDefault="00851EE2" w:rsidP="00851EE2"/>
    <w:p w:rsidR="00851EE2" w:rsidRPr="00851EE2" w:rsidRDefault="00851EE2" w:rsidP="00851EE2">
      <w:pPr>
        <w:rPr>
          <w:b/>
        </w:rPr>
      </w:pPr>
      <w:r w:rsidRPr="00851EE2">
        <w:rPr>
          <w:b/>
        </w:rPr>
        <w:t>Распределительное устройство ЗРУ.</w:t>
      </w:r>
    </w:p>
    <w:p w:rsidR="00851EE2" w:rsidRPr="00851EE2" w:rsidRDefault="00851EE2" w:rsidP="00851EE2">
      <w:pPr>
        <w:rPr>
          <w:b/>
        </w:rPr>
      </w:pPr>
    </w:p>
    <w:p w:rsidR="00851EE2" w:rsidRDefault="00851EE2" w:rsidP="00851EE2">
      <w:r>
        <w:t xml:space="preserve">     В помещении распределительного устройства ЗРУ-6кВ предусмотреть камеры КСО-203.</w:t>
      </w:r>
    </w:p>
    <w:p w:rsidR="00851EE2" w:rsidRDefault="00851EE2" w:rsidP="00851EE2">
      <w:r>
        <w:t>1.</w:t>
      </w:r>
      <w:r>
        <w:tab/>
        <w:t>В комплекте с оборудованием предусмотреть ошиновку камер КСО алюминиевой шиной  не менее АД31Т-60х8;</w:t>
      </w:r>
    </w:p>
    <w:p w:rsidR="00851EE2" w:rsidRDefault="00851EE2" w:rsidP="00851EE2">
      <w:r>
        <w:t>2.</w:t>
      </w:r>
      <w:r>
        <w:tab/>
        <w:t>Опорная изоляция РВЗ и РВФЗ, изоляция тяг подвижных ножей РВЗ и РВФЗ должна быть керамической;</w:t>
      </w:r>
    </w:p>
    <w:p w:rsidR="00851EE2" w:rsidRDefault="00851EE2" w:rsidP="00851EE2">
      <w:r>
        <w:t>3.</w:t>
      </w:r>
      <w:r>
        <w:tab/>
        <w:t>Приводы коммутационных аппаратов в панелях должны включаться вверх - основных ножей, а заземляющие ножи вниз и располагаться на определенной высоте, не более 1,5м от уровня чистого пола по обеим сторонам камеры;</w:t>
      </w:r>
    </w:p>
    <w:p w:rsidR="00851EE2" w:rsidRDefault="00851EE2" w:rsidP="00851EE2">
      <w:r>
        <w:lastRenderedPageBreak/>
        <w:t xml:space="preserve">       Заземляющие ножи должны быть окрашены в черный цвет. Рукоятки приводов заземляющих ножей должны быть окрашены в красный цвет.</w:t>
      </w:r>
    </w:p>
    <w:p w:rsidR="00851EE2" w:rsidRDefault="00851EE2" w:rsidP="00851EE2">
      <w:r>
        <w:t>4.</w:t>
      </w:r>
      <w:r>
        <w:tab/>
        <w:t>Предусмотреть в камерах:</w:t>
      </w:r>
    </w:p>
    <w:p w:rsidR="00851EE2" w:rsidRDefault="00851EE2" w:rsidP="00851EE2">
      <w:r>
        <w:t>-</w:t>
      </w:r>
      <w:r>
        <w:tab/>
        <w:t>перегородки между ячейками КСО;</w:t>
      </w:r>
    </w:p>
    <w:p w:rsidR="00851EE2" w:rsidRDefault="00851EE2" w:rsidP="00851EE2">
      <w:r>
        <w:t>-</w:t>
      </w:r>
      <w:r>
        <w:tab/>
        <w:t>перегородку отделяющую от сборных шин отсек ВВ;</w:t>
      </w:r>
    </w:p>
    <w:p w:rsidR="00851EE2" w:rsidRDefault="00851EE2" w:rsidP="00851EE2">
      <w:r>
        <w:t>-</w:t>
      </w:r>
      <w:r>
        <w:tab/>
        <w:t>перегородку отделяющую отсек ВВ  от кабельного отсека;</w:t>
      </w:r>
    </w:p>
    <w:p w:rsidR="00851EE2" w:rsidRDefault="00851EE2" w:rsidP="00851EE2">
      <w:r>
        <w:t>-</w:t>
      </w:r>
      <w:r>
        <w:tab/>
        <w:t>коммутационный модуль (вакуумный выключатель, согласно техническим характеристикам см. Приложение 1)</w:t>
      </w:r>
    </w:p>
    <w:p w:rsidR="00851EE2" w:rsidRDefault="00851EE2" w:rsidP="00851EE2">
      <w:r>
        <w:t>-</w:t>
      </w:r>
      <w:r>
        <w:tab/>
        <w:t>модуль управления с подпиткой от токовых цепей;</w:t>
      </w:r>
    </w:p>
    <w:p w:rsidR="00851EE2" w:rsidRDefault="00851EE2" w:rsidP="00851EE2">
      <w:r>
        <w:t>-</w:t>
      </w:r>
      <w:r>
        <w:tab/>
        <w:t xml:space="preserve">розетка AC5FDZB BULK; </w:t>
      </w:r>
    </w:p>
    <w:p w:rsidR="00851EE2" w:rsidRDefault="00851EE2" w:rsidP="00851EE2">
      <w:r>
        <w:t>5.</w:t>
      </w:r>
      <w:r>
        <w:tab/>
        <w:t>Предусмотреть перегородку отделяющую 2СР от СВВ;</w:t>
      </w:r>
    </w:p>
    <w:p w:rsidR="00851EE2" w:rsidRDefault="00851EE2" w:rsidP="00851EE2">
      <w:r>
        <w:t>6.</w:t>
      </w:r>
      <w:r>
        <w:tab/>
        <w:t>Предусмотреть перегородку отделяющую 1ТН от ЗН1СШ;</w:t>
      </w:r>
    </w:p>
    <w:p w:rsidR="00851EE2" w:rsidRDefault="00851EE2" w:rsidP="00851EE2">
      <w:r>
        <w:t>7.</w:t>
      </w:r>
      <w:r>
        <w:tab/>
        <w:t>В камерах КСО предусмотреть внутреннее и наружное освещение на основе светодиодных светильников с рабочим напряжением U≈220В, замена ламп внутреннего освещения должна производиться без снятия напряжения с главных цепей ячейки.</w:t>
      </w:r>
    </w:p>
    <w:p w:rsidR="00851EE2" w:rsidRDefault="00851EE2" w:rsidP="00851EE2">
      <w:r>
        <w:t>8.</w:t>
      </w:r>
      <w:r>
        <w:tab/>
        <w:t>Вторичные цепи камер КСО должны быть с фасадной стороны, закрытые металлической дверью, исключить применение самоклеющихся элементов для вторичных цепей. Предусмотреть крепление хомутами к металлическому поручню.</w:t>
      </w:r>
    </w:p>
    <w:p w:rsidR="00851EE2" w:rsidRDefault="00851EE2" w:rsidP="00851EE2">
      <w:r>
        <w:t>9.</w:t>
      </w:r>
      <w:r>
        <w:tab/>
        <w:t>Для прокладки магистрали вторичных цепей вверху камер должны быть предусмотрены короба.</w:t>
      </w:r>
    </w:p>
    <w:p w:rsidR="00851EE2" w:rsidRDefault="00851EE2" w:rsidP="00851EE2">
      <w:r>
        <w:t>10.</w:t>
      </w:r>
      <w:r>
        <w:tab/>
        <w:t>На фасадной стороне камер предусмотреть надписи согласно ОЛ.</w:t>
      </w:r>
    </w:p>
    <w:p w:rsidR="00851EE2" w:rsidRDefault="00851EE2" w:rsidP="00851EE2">
      <w:r>
        <w:t>11.</w:t>
      </w:r>
      <w:r>
        <w:tab/>
        <w:t>Предусмотреть маркировку предохранителей ПКН 001-6 У3.</w:t>
      </w:r>
    </w:p>
    <w:p w:rsidR="00851EE2" w:rsidRDefault="00851EE2" w:rsidP="00851EE2">
      <w:r>
        <w:t>12.</w:t>
      </w:r>
      <w:r>
        <w:tab/>
        <w:t>Ограничители напряжения ОПН-КР/TEL-10/11,5 или эквивалент должны быть ошинованы гибкой медной многослойной шиной.</w:t>
      </w:r>
    </w:p>
    <w:p w:rsidR="00851EE2" w:rsidRDefault="00851EE2" w:rsidP="00851EE2">
      <w:r>
        <w:lastRenderedPageBreak/>
        <w:t>13.</w:t>
      </w:r>
      <w:r>
        <w:tab/>
        <w:t>Предусмотреть АВР между Вводами яч. №1 и №8.</w:t>
      </w:r>
    </w:p>
    <w:p w:rsidR="00851EE2" w:rsidRDefault="00851EE2" w:rsidP="00851EE2">
      <w:r>
        <w:t>14.</w:t>
      </w:r>
      <w:r>
        <w:tab/>
        <w:t>В схемах РЗА ячеек предусмотреть защиты ЛЗШ и УРОВ.</w:t>
      </w:r>
    </w:p>
    <w:p w:rsidR="00851EE2" w:rsidRDefault="00851EE2" w:rsidP="00851EE2">
      <w:r>
        <w:t>15.</w:t>
      </w:r>
      <w:r>
        <w:tab/>
        <w:t>Предусмотреть в комплекте поставки связи между ячейками в том числе цепи АВР, ЛЗШ, УРОВ и т.п;</w:t>
      </w:r>
    </w:p>
    <w:p w:rsidR="00851EE2" w:rsidRDefault="00851EE2" w:rsidP="00851EE2">
      <w:r>
        <w:t>16.</w:t>
      </w:r>
      <w:r>
        <w:tab/>
        <w:t>Предусмотреть установку комбинированных блоков питания БПК-5Т в ячейках №1,8.</w:t>
      </w:r>
    </w:p>
    <w:p w:rsidR="00851EE2" w:rsidRDefault="00851EE2" w:rsidP="00851EE2">
      <w:r>
        <w:t>17.</w:t>
      </w:r>
      <w:r>
        <w:tab/>
        <w:t>Предусмотреть исполнение КСО для яч.№1 и яч.№8 с воздушным вводом..</w:t>
      </w:r>
    </w:p>
    <w:p w:rsidR="00851EE2" w:rsidRDefault="00851EE2" w:rsidP="00851EE2">
      <w:r>
        <w:t>18.</w:t>
      </w:r>
      <w:r>
        <w:tab/>
        <w:t>Предусмотреть шкафы защит и автоматики 1Т,2Т и ЩСН, схемы согласовать с заказчиком.</w:t>
      </w:r>
    </w:p>
    <w:p w:rsidR="00851EE2" w:rsidRDefault="00851EE2" w:rsidP="00851EE2">
      <w:r>
        <w:t>19.</w:t>
      </w:r>
      <w:r>
        <w:tab/>
        <w:t>Шкафы защит и автоматики 1Т,2Т предусмотреть согласно приложению 03/26-025-ОЛ.П3</w:t>
      </w:r>
    </w:p>
    <w:p w:rsidR="00851EE2" w:rsidRDefault="00851EE2" w:rsidP="00851EE2">
      <w:r>
        <w:t>20.</w:t>
      </w:r>
      <w:r>
        <w:tab/>
        <w:t xml:space="preserve">ЩСН предусмотреть с двумя вводами и с АВР. </w:t>
      </w:r>
    </w:p>
    <w:p w:rsidR="00851EE2" w:rsidRDefault="00851EE2" w:rsidP="00851EE2">
      <w:r>
        <w:t>21.</w:t>
      </w:r>
      <w:r>
        <w:tab/>
        <w:t>В ЩСН предусмотреть отходящий трехфазный автоматический выключатель на 40А, для подключения внешнего потребителя.</w:t>
      </w:r>
    </w:p>
    <w:p w:rsidR="00851EE2" w:rsidRDefault="00851EE2" w:rsidP="00851EE2"/>
    <w:p w:rsidR="00851EE2" w:rsidRDefault="00851EE2" w:rsidP="00851EE2">
      <w:r>
        <w:t>.</w:t>
      </w:r>
    </w:p>
    <w:p w:rsidR="00C51609" w:rsidRPr="00C51609" w:rsidRDefault="00162A99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4150000</wp:posOffset>
            </wp:positionH>
            <mc:AlternateContent>
              <mc:Choice Requires="wp14">
                <wp:positionV relativeFrom="page">
                  <wp14:pctPosVOffset>83000</wp14:pctPosVOffset>
                </wp:positionV>
              </mc:Choice>
              <mc:Fallback>
                <wp:positionV relativeFrom="page">
                  <wp:posOffset>8874125</wp:posOffset>
                </wp:positionV>
              </mc:Fallback>
            </mc:AlternateContent>
            <wp:extent cx="2340000" cy="612000"/>
            <wp:effectExtent l="19050" t="0" r="0" b="0"/>
            <wp:wrapNone/>
            <wp:docPr id="99001" name="Рисунок 99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000" name="Picture 99000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C51609" w:rsidRPr="00C516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E0F"/>
    <w:rsid w:val="00162A99"/>
    <w:rsid w:val="00337BC6"/>
    <w:rsid w:val="00851EE2"/>
    <w:rsid w:val="00AE5976"/>
    <w:rsid w:val="00B2038C"/>
    <w:rsid w:val="00F80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A4CCC7-7CA5-48DA-9B71-C0E812F1F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1640</Words>
  <Characters>9353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Хомченко Александр Владимирович</dc:creator>
  <cp:keywords/>
  <dc:description/>
  <cp:lastModifiedBy>Жарикова Виктория Сергеевна</cp:lastModifiedBy>
  <cp:revision>2</cp:revision>
  <dcterms:created xsi:type="dcterms:W3CDTF">2026-05-15T06:08:00Z</dcterms:created>
  <dcterms:modified xsi:type="dcterms:W3CDTF">2026-05-15T06:08:00Z</dcterms:modified>
</cp:coreProperties>
</file>